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A93" w:rsidRPr="002F4488" w:rsidRDefault="00486A93" w:rsidP="009C4E2B">
      <w:pPr>
        <w:pStyle w:val="ConsPlusNormal"/>
        <w:jc w:val="right"/>
        <w:outlineLvl w:val="0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Приложение 14</w:t>
      </w:r>
    </w:p>
    <w:p w:rsidR="00486A93" w:rsidRPr="002F4488" w:rsidRDefault="00486A93">
      <w:pPr>
        <w:pStyle w:val="ConsPlusNormal"/>
        <w:jc w:val="right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к решению Совета муниципального района</w:t>
      </w:r>
    </w:p>
    <w:p w:rsidR="00486A93" w:rsidRPr="002F4488" w:rsidRDefault="00486A93">
      <w:pPr>
        <w:pStyle w:val="ConsPlusNormal"/>
        <w:jc w:val="right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"Заполярный район"</w:t>
      </w:r>
    </w:p>
    <w:p w:rsidR="00486A93" w:rsidRPr="002F4488" w:rsidRDefault="00486A93">
      <w:pPr>
        <w:pStyle w:val="ConsPlusNormal"/>
        <w:jc w:val="right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от 22.12.2021 N 161-р</w:t>
      </w:r>
    </w:p>
    <w:p w:rsidR="00486A93" w:rsidRPr="002F4488" w:rsidRDefault="00486A93">
      <w:pPr>
        <w:pStyle w:val="ConsPlusNormal"/>
        <w:jc w:val="both"/>
        <w:rPr>
          <w:rFonts w:asciiTheme="minorHAnsi" w:hAnsiTheme="minorHAnsi" w:cstheme="minorHAnsi"/>
        </w:rPr>
      </w:pPr>
    </w:p>
    <w:p w:rsidR="00486A93" w:rsidRPr="002F4488" w:rsidRDefault="00486A93">
      <w:pPr>
        <w:pStyle w:val="ConsPlusTitle"/>
        <w:jc w:val="center"/>
        <w:rPr>
          <w:rFonts w:asciiTheme="minorHAnsi" w:hAnsiTheme="minorHAnsi" w:cstheme="minorHAnsi"/>
        </w:rPr>
      </w:pPr>
      <w:bookmarkStart w:id="0" w:name="P8850"/>
      <w:bookmarkEnd w:id="0"/>
      <w:r w:rsidRPr="002F4488">
        <w:rPr>
          <w:rFonts w:asciiTheme="minorHAnsi" w:hAnsiTheme="minorHAnsi" w:cstheme="minorHAnsi"/>
        </w:rPr>
        <w:t>МЕТОДИКА</w:t>
      </w:r>
    </w:p>
    <w:p w:rsidR="00486A93" w:rsidRPr="002F4488" w:rsidRDefault="00486A93">
      <w:pPr>
        <w:pStyle w:val="ConsPlusTitle"/>
        <w:jc w:val="center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РАСЧЕТА И РАСПРЕДЕЛЕНИЯ ИНЫХ МЕЖБЮДЖЕТНЫХ ТРАНСФЕРТОВ</w:t>
      </w:r>
    </w:p>
    <w:p w:rsidR="00486A93" w:rsidRPr="002F4488" w:rsidRDefault="00486A93">
      <w:pPr>
        <w:pStyle w:val="ConsPlusTitle"/>
        <w:jc w:val="center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НА ПОДДЕРЖКУ МЕР ПО ОБЕСПЕЧЕНИЮ СБАЛАНСИРОВАННОСТИ БЮДЖЕТОВ</w:t>
      </w:r>
    </w:p>
    <w:p w:rsidR="00486A93" w:rsidRPr="002F4488" w:rsidRDefault="00486A93">
      <w:pPr>
        <w:pStyle w:val="ConsPlusTitle"/>
        <w:jc w:val="center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ПОСЕЛЕНИЙ ИЗ РАЙОННОГО БЮДЖЕТА</w:t>
      </w:r>
    </w:p>
    <w:p w:rsidR="00486A93" w:rsidRPr="002F4488" w:rsidRDefault="00486A93">
      <w:pPr>
        <w:pStyle w:val="ConsPlusNormal"/>
        <w:jc w:val="both"/>
        <w:rPr>
          <w:rFonts w:asciiTheme="minorHAnsi" w:hAnsiTheme="minorHAnsi" w:cstheme="minorHAnsi"/>
        </w:rPr>
      </w:pPr>
    </w:p>
    <w:p w:rsidR="00486A93" w:rsidRPr="002F4488" w:rsidRDefault="00486A93">
      <w:pPr>
        <w:pStyle w:val="ConsPlusNormal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1. Иные межбюджетные трансферты на поддержку мер по обеспечению сбалансированности бюджетов поселений из районного бюджета (далее - межбюджетный трансферт на сбалансированность) предоставляются с целью доведения прогнозных расчетных доходов поселений по отношению к прогнозу их расходов в очередном финансовом году и плановом периоде до максимально возможного уровня и оказания дополнительной финансовой поддержки поселениям для решения вопросов местного значения, в том случае, если расчетные доходы поселения с учетом дотации из бюджета субъекта и бюджета муниципального района на выравнивание бюджетной обеспеченности поселений ниже прогноза расчетных расходов с учетом максимального уровня, до которого возможно доведение расчетных доходов.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2. Объем межбюджетного трансф</w:t>
      </w:r>
      <w:bookmarkStart w:id="1" w:name="_GoBack"/>
      <w:bookmarkEnd w:id="1"/>
      <w:r w:rsidRPr="002F4488">
        <w:rPr>
          <w:rFonts w:asciiTheme="minorHAnsi" w:hAnsiTheme="minorHAnsi" w:cstheme="minorHAnsi"/>
        </w:rPr>
        <w:t>ерта на сбалансированность, выделяемого бюджету j-го поселения на 2022 (2023, 2024) год, рассчитывается по формуле: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10"/>
        </w:rPr>
        <w:drawing>
          <wp:inline distT="0" distB="0" distL="0" distR="0">
            <wp:extent cx="922020" cy="267970"/>
            <wp:effectExtent l="0" t="0" r="0" b="0"/>
            <wp:docPr id="7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>, где: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10"/>
        </w:rPr>
        <w:drawing>
          <wp:inline distT="0" distB="0" distL="0" distR="0">
            <wp:extent cx="209550" cy="267970"/>
            <wp:effectExtent l="0" t="0" r="0" b="0"/>
            <wp:docPr id="7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 xml:space="preserve"> - объем межбюджетного трансферта на сбалансированность, выделяемого бюджету j-го поселения на 2022 (2023, 2024) год;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10"/>
        </w:rPr>
        <w:drawing>
          <wp:inline distT="0" distB="0" distL="0" distR="0">
            <wp:extent cx="209550" cy="267970"/>
            <wp:effectExtent l="0" t="0" r="0" b="0"/>
            <wp:docPr id="8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 xml:space="preserve"> - расчетные расходы бюджета j-го поселения на 2022 (2023, 2024) год;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12"/>
        </w:rPr>
        <w:drawing>
          <wp:inline distT="0" distB="0" distL="0" distR="0">
            <wp:extent cx="285115" cy="302895"/>
            <wp:effectExtent l="0" t="0" r="0" b="0"/>
            <wp:docPr id="8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30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 xml:space="preserve"> - расчетные доходы бюджета j-го поселения на 2022 (2023, 2024) год.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3. Расчетные расходы бюджета поселения рассчитываются по формуле: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10"/>
        </w:rPr>
        <w:drawing>
          <wp:inline distT="0" distB="0" distL="0" distR="0">
            <wp:extent cx="2263140" cy="276860"/>
            <wp:effectExtent l="0" t="0" r="0" b="0"/>
            <wp:docPr id="8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14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>, где: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10"/>
        </w:rPr>
        <w:drawing>
          <wp:inline distT="0" distB="0" distL="0" distR="0">
            <wp:extent cx="209550" cy="267970"/>
            <wp:effectExtent l="0" t="0" r="0" b="0"/>
            <wp:docPr id="8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 xml:space="preserve"> - расчетные расходы j-го поселения;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10"/>
        </w:rPr>
        <w:drawing>
          <wp:inline distT="0" distB="0" distL="0" distR="0">
            <wp:extent cx="564515" cy="267970"/>
            <wp:effectExtent l="0" t="0" r="0" b="0"/>
            <wp:docPr id="8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 xml:space="preserve"> - потребность j-го поселения в средствах на заработную плату с начислениями работникам органов местного самоуправления поселения;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10"/>
        </w:rPr>
        <w:drawing>
          <wp:inline distT="0" distB="0" distL="0" distR="0">
            <wp:extent cx="318135" cy="267970"/>
            <wp:effectExtent l="0" t="0" r="0" b="0"/>
            <wp:docPr id="8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 xml:space="preserve"> - расходы бюджета j-го поселения на прочие затраты, рассчитанные на основе плановых расходов на текущий год, в котором осуществляется составление проекта бюджета, без учета расходов за счет целевых межбюджетных трансфертов (по данным бюджетной отчетности поселений по состоянию на 01.07.2021).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Из прочих расходов исключаются: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 xml:space="preserve">- расходы, источником финансового обеспечения которых являются доходы от поступления акцизов по подакцизным товарам (продукции), производимым на территории РФ, налог, взимаемый в связи с применением упрощенной системы налогообложения, доходы от сдачи в </w:t>
      </w:r>
      <w:r w:rsidRPr="002F4488">
        <w:rPr>
          <w:rFonts w:asciiTheme="minorHAnsi" w:hAnsiTheme="minorHAnsi" w:cstheme="minorHAnsi"/>
        </w:rPr>
        <w:lastRenderedPageBreak/>
        <w:t xml:space="preserve">аренду имущества, составляющего казну сельских поселений (за исключением земельных участков), по данным отчетности муниципальных образований на 01.07.2021, но не выше суммы, исключенной из доходов в соответствии с </w:t>
      </w:r>
      <w:hyperlink w:anchor="P8894">
        <w:r w:rsidRPr="002F4488">
          <w:rPr>
            <w:rFonts w:asciiTheme="minorHAnsi" w:hAnsiTheme="minorHAnsi" w:cstheme="minorHAnsi"/>
            <w:color w:val="0000FF"/>
          </w:rPr>
          <w:t>пунктом 5</w:t>
        </w:r>
      </w:hyperlink>
      <w:r w:rsidRPr="002F4488">
        <w:rPr>
          <w:rFonts w:asciiTheme="minorHAnsi" w:hAnsiTheme="minorHAnsi" w:cstheme="minorHAnsi"/>
        </w:rPr>
        <w:t xml:space="preserve"> настоящей Методики, в пределах суммы, исключенной из доходов при расчете межбюджетного трансферта на сбалансированность на 2021 год;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- суммы ассигнований, учтенных в расчете межбюджетного трансферта на сбалансированность на 2021 год на выплату заработной платы и начисления на фонд оплаты труда, но направленных в бюджетах муниципальных образований на 2021 год на прочие расходы;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- сумма, равная остатку средств на счете местного бюджета на начало текущего года (без учета остатка целевых межбюджетных трансфертов, подлежащих возврату в окружной и районный бюджеты) за минусом остатков средств дорожного фонда поселения (далее - остаток средств на счете бюджета);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6"/>
        </w:rPr>
        <w:drawing>
          <wp:inline distT="0" distB="0" distL="0" distR="0">
            <wp:extent cx="276860" cy="226060"/>
            <wp:effectExtent l="0" t="0" r="0" b="0"/>
            <wp:docPr id="8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2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 xml:space="preserve"> - коэффициент роста расходов на прочие затраты принимается равным 1,0;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10"/>
        </w:rPr>
        <w:drawing>
          <wp:inline distT="0" distB="0" distL="0" distR="0">
            <wp:extent cx="401320" cy="276860"/>
            <wp:effectExtent l="0" t="0" r="0" b="0"/>
            <wp:docPr id="8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2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 xml:space="preserve"> - потребность j-го сельского поселения в средствах на покрытие дополнительных непредвиденных расходов бюджета, рассчитанная исходя из 600,0 руб. на 1 человека (численность населения сельского поселения принимается равной численности постоянного населения по данным Росстата на 1 января 2021 года).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4. Потребность j-го поселения в средствах на заработную плату с начислениями рассчитывается по формуле: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10"/>
        </w:rPr>
        <w:drawing>
          <wp:inline distT="0" distB="0" distL="0" distR="0">
            <wp:extent cx="4316730" cy="267970"/>
            <wp:effectExtent l="0" t="0" r="0" b="0"/>
            <wp:docPr id="8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73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>, где: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10"/>
        </w:rPr>
        <w:drawing>
          <wp:inline distT="0" distB="0" distL="0" distR="0">
            <wp:extent cx="564515" cy="267970"/>
            <wp:effectExtent l="0" t="0" r="0" b="0"/>
            <wp:docPr id="8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 xml:space="preserve"> - потребность j-го поселения в средствах на заработную плату с начислениями;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10"/>
        </w:rPr>
        <w:drawing>
          <wp:inline distT="0" distB="0" distL="0" distR="0">
            <wp:extent cx="712470" cy="267970"/>
            <wp:effectExtent l="0" t="0" r="0" b="0"/>
            <wp:docPr id="9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 xml:space="preserve"> - фонд оплаты труда выборных лиц j-го поселения, рассчитанный по </w:t>
      </w:r>
      <w:hyperlink r:id="rId17">
        <w:r w:rsidRPr="002F4488">
          <w:rPr>
            <w:rFonts w:asciiTheme="minorHAnsi" w:hAnsiTheme="minorHAnsi" w:cstheme="minorHAnsi"/>
            <w:color w:val="0000FF"/>
          </w:rPr>
          <w:t>Методике</w:t>
        </w:r>
      </w:hyperlink>
      <w:r w:rsidRPr="002F4488">
        <w:rPr>
          <w:rFonts w:asciiTheme="minorHAnsi" w:hAnsiTheme="minorHAnsi" w:cstheme="minorHAnsi"/>
        </w:rPr>
        <w:t xml:space="preserve"> расчета нормативов формирования расходов на оплату труда депутатов, выборных должностных лиц, осуществляющих свои полномочия на постоянной основе, муниципальных служащих в органах местного самоуправления муниципальных образований Ненецкого автономного округа, наделенных статусом городского поселения (за исключением городского округа) или сельского поселения, утвержденной постановлением Администрации Ненецкого автономного округа от 09.08.2018 N 199-п;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10"/>
        </w:rPr>
        <w:drawing>
          <wp:inline distT="0" distB="0" distL="0" distR="0">
            <wp:extent cx="628650" cy="267970"/>
            <wp:effectExtent l="0" t="0" r="0" b="0"/>
            <wp:docPr id="9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 xml:space="preserve"> - фонд оплаты труда муниципальных служащих j-го поселения, рассчитанный по </w:t>
      </w:r>
      <w:hyperlink r:id="rId19">
        <w:r w:rsidRPr="002F4488">
          <w:rPr>
            <w:rFonts w:asciiTheme="minorHAnsi" w:hAnsiTheme="minorHAnsi" w:cstheme="minorHAnsi"/>
            <w:color w:val="0000FF"/>
          </w:rPr>
          <w:t>Методике</w:t>
        </w:r>
      </w:hyperlink>
      <w:r w:rsidRPr="002F4488">
        <w:rPr>
          <w:rFonts w:asciiTheme="minorHAnsi" w:hAnsiTheme="minorHAnsi" w:cstheme="minorHAnsi"/>
        </w:rPr>
        <w:t xml:space="preserve"> расчета нормативов формирования расходов на оплату труда депутатов, выборных должностных лиц, осуществляющих свои полномочия на постоянной основе, муниципальных служащих в органах местного самоуправления муниципальных образований Ненецкого автономного округа, наделенных статусом городского поселения (за исключением городского округа) или сельского поселения, утвержденной постановлением Администрации Ненецкого автономного округа от 09.08.2018 N 199-п;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10"/>
        </w:rPr>
        <w:drawing>
          <wp:inline distT="0" distB="0" distL="0" distR="0">
            <wp:extent cx="768350" cy="267970"/>
            <wp:effectExtent l="0" t="0" r="0" b="0"/>
            <wp:docPr id="9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 xml:space="preserve"> - фонд оплаты труда специалистов, не относящихся к должностям муниципальной службы j-го поселения, рассчитанный исходя из условной расчетной численности специалистов и 50 должностных окладов.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Условная расчетная численность: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1 единица главного специалиста, 1 единица ведущего специалиста - для сельских поселений;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lastRenderedPageBreak/>
        <w:t>10 единиц главного специалиста, 3 единицы ведущего специалиста - для городского поселения;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должности специалистов, количество которых определено с учетом повышающих коэффициентов в зависимости от наличия в поселении многоквартирных домов, приписных населенных пунктов, муниципальных казенных и унитарных предприятий, оленеводческих бригад и наличия архивной работы - для сельских и городского поселений.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Расчет повышающих коэффициентов: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- наличие многоквартирных домов: 0,5 ставки - до 5 домов, 1 ставка - от 5 и более домов;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- наличие приписных населенных пунктов: 0,5 ставки - 1 населенный пункт;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- наличие муниципальных казенных предприятий: 0,5 ставки - 1 МКП;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- наличие муниципальных унитарных предприятий: 1 ставка - 1 МУП;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- наличие оленеводческих бригад - 0,5 ставки;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- наличие архивной работы - 0,5 ставки.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10"/>
        </w:rPr>
        <w:drawing>
          <wp:inline distT="0" distB="0" distL="0" distR="0">
            <wp:extent cx="712470" cy="267970"/>
            <wp:effectExtent l="0" t="0" r="0" b="0"/>
            <wp:docPr id="9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 xml:space="preserve"> - фонд оплаты труда санитарно-технического персонала (уборщик служебных помещений) в сельских поселениях, машинистов котельных (кочегаров), операторов газовых котельных в сельских поселениях, прочего персонала в городском поселении.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 xml:space="preserve">Фонд оплаты труда санитарно-технического персонала (уборщик служебных помещений) сельского поселения рассчитывается исходя из количества штатных единиц, учтенных в расчете межбюджетного трансферта на сбалансированность на текущий финансовый год, и месячного фонда оплаты труда в объеме не более величины минимального размера оплаты труда, установленного проектом Федерального </w:t>
      </w:r>
      <w:hyperlink r:id="rId22">
        <w:r w:rsidRPr="002F4488">
          <w:rPr>
            <w:rFonts w:asciiTheme="minorHAnsi" w:hAnsiTheme="minorHAnsi" w:cstheme="minorHAnsi"/>
            <w:color w:val="0000FF"/>
          </w:rPr>
          <w:t>закона</w:t>
        </w:r>
      </w:hyperlink>
      <w:r w:rsidRPr="002F4488">
        <w:rPr>
          <w:rFonts w:asciiTheme="minorHAnsi" w:hAnsiTheme="minorHAnsi" w:cstheme="minorHAnsi"/>
        </w:rPr>
        <w:t xml:space="preserve"> "О внесении изменений в статью 1 Федерального закона "О минимальном размере оплаты труда", с учетом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 xml:space="preserve">Фонд оплаты труда машинистов котельных (кочегаров) и операторов газовых котельных в сельских поселениях рассчитывается в соответствии со штатным расписанием муниципального образования на текущий финансовый год, но не более количества штатных единиц, размеров должностных окладов и количества должностных окладов, учтенных в расчете межбюджетного трансферта на сбалансированность на текущий финансовый год. При этом месячный фонд оплаты труда учитывается в размере не меньше величины минимального размера оплаты труда, установленного проектом Федерального </w:t>
      </w:r>
      <w:hyperlink r:id="rId23">
        <w:r w:rsidRPr="002F4488">
          <w:rPr>
            <w:rFonts w:asciiTheme="minorHAnsi" w:hAnsiTheme="minorHAnsi" w:cstheme="minorHAnsi"/>
            <w:color w:val="0000FF"/>
          </w:rPr>
          <w:t>закона</w:t>
        </w:r>
      </w:hyperlink>
      <w:r w:rsidRPr="002F4488">
        <w:rPr>
          <w:rFonts w:asciiTheme="minorHAnsi" w:hAnsiTheme="minorHAnsi" w:cstheme="minorHAnsi"/>
        </w:rPr>
        <w:t xml:space="preserve"> "О внесении изменений в статью 1 Федерального закона "О минимальном размере оплаты труда", с учетом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Фонд оплаты труда по прочим должностям городского поселения (водитель) рассчитывается в соответствии со штатным расписанием муниципального образования на текущий финансовый год, но не более количества штатных единиц, размеров должностных окладов и количества должностных окладов, учтенных в расчете межбюджетного трансферта на сбалансированность на текущий финансовый год.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10"/>
        </w:rPr>
        <w:drawing>
          <wp:inline distT="0" distB="0" distL="0" distR="0">
            <wp:extent cx="351790" cy="267970"/>
            <wp:effectExtent l="0" t="0" r="0" b="0"/>
            <wp:docPr id="9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 xml:space="preserve"> - норматив отчислений во внебюджетные фонды от фонда оплаты труда j-го поселения рассчитанный по тарифам, определенным </w:t>
      </w:r>
      <w:hyperlink r:id="rId25">
        <w:r w:rsidRPr="002F4488">
          <w:rPr>
            <w:rFonts w:asciiTheme="minorHAnsi" w:hAnsiTheme="minorHAnsi" w:cstheme="minorHAnsi"/>
            <w:color w:val="0000FF"/>
          </w:rPr>
          <w:t>главой 34</w:t>
        </w:r>
      </w:hyperlink>
      <w:r w:rsidRPr="002F4488">
        <w:rPr>
          <w:rFonts w:asciiTheme="minorHAnsi" w:hAnsiTheme="minorHAnsi" w:cstheme="minorHAnsi"/>
        </w:rPr>
        <w:t xml:space="preserve"> части второй Налогового кодекса Российской Федерации, с учетом </w:t>
      </w:r>
      <w:hyperlink r:id="rId26">
        <w:r w:rsidRPr="002F4488">
          <w:rPr>
            <w:rFonts w:asciiTheme="minorHAnsi" w:hAnsiTheme="minorHAnsi" w:cstheme="minorHAnsi"/>
            <w:color w:val="0000FF"/>
          </w:rPr>
          <w:t>постановления</w:t>
        </w:r>
      </w:hyperlink>
      <w:r w:rsidRPr="002F4488">
        <w:rPr>
          <w:rFonts w:asciiTheme="minorHAnsi" w:hAnsiTheme="minorHAnsi" w:cstheme="minorHAnsi"/>
        </w:rPr>
        <w:t xml:space="preserve"> Правительства РФ от 16.11.2021 N 1951 "О предельной </w:t>
      </w:r>
      <w:r w:rsidRPr="002F4488">
        <w:rPr>
          <w:rFonts w:asciiTheme="minorHAnsi" w:hAnsiTheme="minorHAnsi" w:cstheme="minorHAnsi"/>
        </w:rPr>
        <w:lastRenderedPageBreak/>
        <w:t>величине базы для исчисления страховых взносов на обязательное социальное страхование на случай временной нетрудоспособности и в связи с материнством и на обязательное пенсионное страхование с 1 января 2022 г.".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bookmarkStart w:id="2" w:name="P8894"/>
      <w:bookmarkEnd w:id="2"/>
      <w:r w:rsidRPr="002F4488">
        <w:rPr>
          <w:rFonts w:asciiTheme="minorHAnsi" w:hAnsiTheme="minorHAnsi" w:cstheme="minorHAnsi"/>
        </w:rPr>
        <w:t>5. Расчетные доходы бюджета поселения рассчитываются на основании данных администраторов, соответствующих налоговых и неналоговых доходов, с учетом дотаций на выравнивание бюджетной обеспеченности поселений из бюджета субъекта и бюджета муниципального района по формуле: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10"/>
        </w:rPr>
        <w:drawing>
          <wp:inline distT="0" distB="0" distL="0" distR="0">
            <wp:extent cx="3129280" cy="267970"/>
            <wp:effectExtent l="0" t="0" r="0" b="0"/>
            <wp:docPr id="9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28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>, где: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10"/>
        </w:rPr>
        <w:drawing>
          <wp:inline distT="0" distB="0" distL="0" distR="0">
            <wp:extent cx="251460" cy="267970"/>
            <wp:effectExtent l="0" t="0" r="0" b="0"/>
            <wp:docPr id="9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 xml:space="preserve"> - расчетные доходы j-го поселения;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10"/>
        </w:rPr>
        <w:drawing>
          <wp:inline distT="0" distB="0" distL="0" distR="0">
            <wp:extent cx="351790" cy="267970"/>
            <wp:effectExtent l="0" t="0" r="0" b="0"/>
            <wp:docPr id="9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 xml:space="preserve"> - прогноз налоговых и неналоговых доходов бюджета j-го поселения;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10"/>
        </w:rPr>
        <w:drawing>
          <wp:inline distT="0" distB="0" distL="0" distR="0">
            <wp:extent cx="310515" cy="267970"/>
            <wp:effectExtent l="0" t="0" r="0" b="0"/>
            <wp:docPr id="9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 xml:space="preserve"> - доходы бюджета j-го поселения от поступления акцизов по подакцизным товарам (продукции), производимым на территории РФ;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10"/>
        </w:rPr>
        <w:drawing>
          <wp:inline distT="0" distB="0" distL="0" distR="0">
            <wp:extent cx="276860" cy="267970"/>
            <wp:effectExtent l="0" t="0" r="0" b="0"/>
            <wp:docPr id="9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 xml:space="preserve"> - доходы бюджета j-го поселения от поступления налога, взимаемого в связи с применением упрощенной системы налогообложения;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10"/>
        </w:rPr>
        <w:drawing>
          <wp:inline distT="0" distB="0" distL="0" distR="0">
            <wp:extent cx="318135" cy="267970"/>
            <wp:effectExtent l="0" t="0" r="0" b="0"/>
            <wp:docPr id="10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 xml:space="preserve"> - доходы бюджета j-го поселения от сдачи в аренду имущества, составляющего казну сельских поселений (за исключением земельных участков);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10"/>
        </w:rPr>
        <w:drawing>
          <wp:inline distT="0" distB="0" distL="0" distR="0">
            <wp:extent cx="461010" cy="267970"/>
            <wp:effectExtent l="0" t="0" r="0" b="0"/>
            <wp:docPr id="10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 xml:space="preserve"> - дотация на выравнивание бюджетной обеспеченности j-го поселения из бюджета субъекта;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  <w:noProof/>
          <w:position w:val="-10"/>
        </w:rPr>
        <w:drawing>
          <wp:inline distT="0" distB="0" distL="0" distR="0">
            <wp:extent cx="461010" cy="267970"/>
            <wp:effectExtent l="0" t="0" r="0" b="0"/>
            <wp:docPr id="10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488">
        <w:rPr>
          <w:rFonts w:asciiTheme="minorHAnsi" w:hAnsiTheme="minorHAnsi" w:cstheme="minorHAnsi"/>
        </w:rPr>
        <w:t xml:space="preserve"> - дотация на выравнивание бюджетной обеспеченности j-го поселения из районного бюджета.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bookmarkStart w:id="3" w:name="P8903"/>
      <w:bookmarkEnd w:id="3"/>
      <w:r w:rsidRPr="002F4488">
        <w:rPr>
          <w:rFonts w:asciiTheme="minorHAnsi" w:hAnsiTheme="minorHAnsi" w:cstheme="minorHAnsi"/>
        </w:rPr>
        <w:t xml:space="preserve">6. Расходы бюджета j-го поселения на прочие затраты </w:t>
      </w:r>
      <w:proofErr w:type="spellStart"/>
      <w:r w:rsidRPr="002F4488">
        <w:rPr>
          <w:rFonts w:asciiTheme="minorHAnsi" w:hAnsiTheme="minorHAnsi" w:cstheme="minorHAnsi"/>
        </w:rPr>
        <w:t>ПЗ</w:t>
      </w:r>
      <w:r w:rsidRPr="002F4488">
        <w:rPr>
          <w:rFonts w:asciiTheme="minorHAnsi" w:hAnsiTheme="minorHAnsi" w:cstheme="minorHAnsi"/>
          <w:vertAlign w:val="subscript"/>
        </w:rPr>
        <w:t>j</w:t>
      </w:r>
      <w:proofErr w:type="spellEnd"/>
      <w:r w:rsidRPr="002F4488">
        <w:rPr>
          <w:rFonts w:asciiTheme="minorHAnsi" w:hAnsiTheme="minorHAnsi" w:cstheme="minorHAnsi"/>
        </w:rPr>
        <w:t>, рассчитанные в соответствии с настоящей Методикой, подлежат увеличению при одновременном соблюдении следующих условий:</w:t>
      </w:r>
    </w:p>
    <w:p w:rsidR="00486A93" w:rsidRPr="002F4488" w:rsidRDefault="00486A93">
      <w:pPr>
        <w:pStyle w:val="ConsPlusNormal"/>
        <w:jc w:val="both"/>
        <w:rPr>
          <w:rFonts w:asciiTheme="minorHAnsi" w:hAnsiTheme="minorHAnsi" w:cstheme="minorHAnsi"/>
        </w:rPr>
      </w:pPr>
    </w:p>
    <w:p w:rsidR="00486A93" w:rsidRPr="002F4488" w:rsidRDefault="00486A93">
      <w:pPr>
        <w:pStyle w:val="ConsPlusNormal"/>
        <w:ind w:firstLine="540"/>
        <w:jc w:val="both"/>
        <w:rPr>
          <w:rFonts w:asciiTheme="minorHAnsi" w:hAnsiTheme="minorHAnsi" w:cstheme="minorHAnsi"/>
        </w:rPr>
      </w:pPr>
      <w:proofErr w:type="spellStart"/>
      <w:r w:rsidRPr="002F4488">
        <w:rPr>
          <w:rFonts w:asciiTheme="minorHAnsi" w:hAnsiTheme="minorHAnsi" w:cstheme="minorHAnsi"/>
        </w:rPr>
        <w:t>ПЗ</w:t>
      </w:r>
      <w:r w:rsidRPr="002F4488">
        <w:rPr>
          <w:rFonts w:asciiTheme="minorHAnsi" w:hAnsiTheme="minorHAnsi" w:cstheme="minorHAnsi"/>
          <w:vertAlign w:val="subscript"/>
        </w:rPr>
        <w:t>ОЧГj</w:t>
      </w:r>
      <w:proofErr w:type="spellEnd"/>
      <w:r w:rsidRPr="002F4488">
        <w:rPr>
          <w:rFonts w:asciiTheme="minorHAnsi" w:hAnsiTheme="minorHAnsi" w:cstheme="minorHAnsi"/>
        </w:rPr>
        <w:t xml:space="preserve"> </w:t>
      </w:r>
      <w:proofErr w:type="gramStart"/>
      <w:r w:rsidRPr="002F4488">
        <w:rPr>
          <w:rFonts w:asciiTheme="minorHAnsi" w:hAnsiTheme="minorHAnsi" w:cstheme="minorHAnsi"/>
        </w:rPr>
        <w:t xml:space="preserve">&lt; </w:t>
      </w:r>
      <w:proofErr w:type="spellStart"/>
      <w:r w:rsidRPr="002F4488">
        <w:rPr>
          <w:rFonts w:asciiTheme="minorHAnsi" w:hAnsiTheme="minorHAnsi" w:cstheme="minorHAnsi"/>
        </w:rPr>
        <w:t>ПЗ</w:t>
      </w:r>
      <w:r w:rsidRPr="002F4488">
        <w:rPr>
          <w:rFonts w:asciiTheme="minorHAnsi" w:hAnsiTheme="minorHAnsi" w:cstheme="minorHAnsi"/>
          <w:vertAlign w:val="subscript"/>
        </w:rPr>
        <w:t>ТГ</w:t>
      </w:r>
      <w:proofErr w:type="gramEnd"/>
      <w:r w:rsidRPr="002F4488">
        <w:rPr>
          <w:rFonts w:asciiTheme="minorHAnsi" w:hAnsiTheme="minorHAnsi" w:cstheme="minorHAnsi"/>
          <w:vertAlign w:val="subscript"/>
        </w:rPr>
        <w:t>j</w:t>
      </w:r>
      <w:proofErr w:type="spellEnd"/>
      <w:r w:rsidRPr="002F4488">
        <w:rPr>
          <w:rFonts w:asciiTheme="minorHAnsi" w:hAnsiTheme="minorHAnsi" w:cstheme="minorHAnsi"/>
        </w:rPr>
        <w:t xml:space="preserve"> и (</w:t>
      </w:r>
      <w:proofErr w:type="spellStart"/>
      <w:r w:rsidRPr="002F4488">
        <w:rPr>
          <w:rFonts w:asciiTheme="minorHAnsi" w:hAnsiTheme="minorHAnsi" w:cstheme="minorHAnsi"/>
        </w:rPr>
        <w:t>Д</w:t>
      </w:r>
      <w:r w:rsidRPr="002F4488">
        <w:rPr>
          <w:rFonts w:asciiTheme="minorHAnsi" w:hAnsiTheme="minorHAnsi" w:cstheme="minorHAnsi"/>
          <w:vertAlign w:val="subscript"/>
        </w:rPr>
        <w:t>ОЧГj</w:t>
      </w:r>
      <w:proofErr w:type="spellEnd"/>
      <w:r w:rsidRPr="002F4488">
        <w:rPr>
          <w:rFonts w:asciiTheme="minorHAnsi" w:hAnsiTheme="minorHAnsi" w:cstheme="minorHAnsi"/>
        </w:rPr>
        <w:t xml:space="preserve"> + </w:t>
      </w:r>
      <w:proofErr w:type="spellStart"/>
      <w:r w:rsidRPr="002F4488">
        <w:rPr>
          <w:rFonts w:asciiTheme="minorHAnsi" w:hAnsiTheme="minorHAnsi" w:cstheme="minorHAnsi"/>
        </w:rPr>
        <w:t>С</w:t>
      </w:r>
      <w:r w:rsidRPr="002F4488">
        <w:rPr>
          <w:rFonts w:asciiTheme="minorHAnsi" w:hAnsiTheme="minorHAnsi" w:cstheme="minorHAnsi"/>
          <w:vertAlign w:val="subscript"/>
        </w:rPr>
        <w:t>ОЧГj</w:t>
      </w:r>
      <w:proofErr w:type="spellEnd"/>
      <w:r w:rsidRPr="002F4488">
        <w:rPr>
          <w:rFonts w:asciiTheme="minorHAnsi" w:hAnsiTheme="minorHAnsi" w:cstheme="minorHAnsi"/>
        </w:rPr>
        <w:t>) &lt; (</w:t>
      </w:r>
      <w:proofErr w:type="spellStart"/>
      <w:r w:rsidRPr="002F4488">
        <w:rPr>
          <w:rFonts w:asciiTheme="minorHAnsi" w:hAnsiTheme="minorHAnsi" w:cstheme="minorHAnsi"/>
        </w:rPr>
        <w:t>Д</w:t>
      </w:r>
      <w:r w:rsidRPr="002F4488">
        <w:rPr>
          <w:rFonts w:asciiTheme="minorHAnsi" w:hAnsiTheme="minorHAnsi" w:cstheme="minorHAnsi"/>
          <w:vertAlign w:val="subscript"/>
        </w:rPr>
        <w:t>ТГj</w:t>
      </w:r>
      <w:proofErr w:type="spellEnd"/>
      <w:r w:rsidRPr="002F4488">
        <w:rPr>
          <w:rFonts w:asciiTheme="minorHAnsi" w:hAnsiTheme="minorHAnsi" w:cstheme="minorHAnsi"/>
        </w:rPr>
        <w:t xml:space="preserve"> + </w:t>
      </w:r>
      <w:proofErr w:type="spellStart"/>
      <w:r w:rsidRPr="002F4488">
        <w:rPr>
          <w:rFonts w:asciiTheme="minorHAnsi" w:hAnsiTheme="minorHAnsi" w:cstheme="minorHAnsi"/>
        </w:rPr>
        <w:t>С</w:t>
      </w:r>
      <w:r w:rsidRPr="002F4488">
        <w:rPr>
          <w:rFonts w:asciiTheme="minorHAnsi" w:hAnsiTheme="minorHAnsi" w:cstheme="minorHAnsi"/>
          <w:vertAlign w:val="subscript"/>
        </w:rPr>
        <w:t>ТГj</w:t>
      </w:r>
      <w:proofErr w:type="spellEnd"/>
      <w:r w:rsidRPr="002F4488">
        <w:rPr>
          <w:rFonts w:asciiTheme="minorHAnsi" w:hAnsiTheme="minorHAnsi" w:cstheme="minorHAnsi"/>
        </w:rPr>
        <w:t>), где:</w:t>
      </w:r>
    </w:p>
    <w:p w:rsidR="00486A93" w:rsidRPr="002F4488" w:rsidRDefault="00486A93">
      <w:pPr>
        <w:pStyle w:val="ConsPlusNormal"/>
        <w:jc w:val="both"/>
        <w:rPr>
          <w:rFonts w:asciiTheme="minorHAnsi" w:hAnsiTheme="minorHAnsi" w:cstheme="minorHAnsi"/>
        </w:rPr>
      </w:pPr>
    </w:p>
    <w:p w:rsidR="00486A93" w:rsidRPr="002F4488" w:rsidRDefault="00486A93">
      <w:pPr>
        <w:pStyle w:val="ConsPlusNormal"/>
        <w:ind w:firstLine="540"/>
        <w:jc w:val="both"/>
        <w:rPr>
          <w:rFonts w:asciiTheme="minorHAnsi" w:hAnsiTheme="minorHAnsi" w:cstheme="minorHAnsi"/>
        </w:rPr>
      </w:pPr>
      <w:proofErr w:type="spellStart"/>
      <w:r w:rsidRPr="002F4488">
        <w:rPr>
          <w:rFonts w:asciiTheme="minorHAnsi" w:hAnsiTheme="minorHAnsi" w:cstheme="minorHAnsi"/>
        </w:rPr>
        <w:t>ПЗ</w:t>
      </w:r>
      <w:r w:rsidRPr="002F4488">
        <w:rPr>
          <w:rFonts w:asciiTheme="minorHAnsi" w:hAnsiTheme="minorHAnsi" w:cstheme="minorHAnsi"/>
          <w:vertAlign w:val="subscript"/>
        </w:rPr>
        <w:t>ОЧГj</w:t>
      </w:r>
      <w:proofErr w:type="spellEnd"/>
      <w:r w:rsidRPr="002F4488">
        <w:rPr>
          <w:rFonts w:asciiTheme="minorHAnsi" w:hAnsiTheme="minorHAnsi" w:cstheme="minorHAnsi"/>
        </w:rPr>
        <w:t xml:space="preserve"> - расходы бюджета j-го поселения на прочие затраты, рассчитанные в соответствии с настоящей Методикой;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proofErr w:type="spellStart"/>
      <w:r w:rsidRPr="002F4488">
        <w:rPr>
          <w:rFonts w:asciiTheme="minorHAnsi" w:hAnsiTheme="minorHAnsi" w:cstheme="minorHAnsi"/>
        </w:rPr>
        <w:t>ПЗ</w:t>
      </w:r>
      <w:r w:rsidRPr="002F4488">
        <w:rPr>
          <w:rFonts w:asciiTheme="minorHAnsi" w:hAnsiTheme="minorHAnsi" w:cstheme="minorHAnsi"/>
          <w:vertAlign w:val="subscript"/>
        </w:rPr>
        <w:t>ТГj</w:t>
      </w:r>
      <w:proofErr w:type="spellEnd"/>
      <w:r w:rsidRPr="002F4488">
        <w:rPr>
          <w:rFonts w:asciiTheme="minorHAnsi" w:hAnsiTheme="minorHAnsi" w:cstheme="minorHAnsi"/>
        </w:rPr>
        <w:t xml:space="preserve"> - расходы бюджета j-го поселения на прочие затраты, рассчитанные в соответствии с методикой расчета межбюджетного трансферта на сбалансированность на текущий финансовый год;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proofErr w:type="spellStart"/>
      <w:r w:rsidRPr="002F4488">
        <w:rPr>
          <w:rFonts w:asciiTheme="minorHAnsi" w:hAnsiTheme="minorHAnsi" w:cstheme="minorHAnsi"/>
        </w:rPr>
        <w:t>Д</w:t>
      </w:r>
      <w:r w:rsidRPr="002F4488">
        <w:rPr>
          <w:rFonts w:asciiTheme="minorHAnsi" w:hAnsiTheme="minorHAnsi" w:cstheme="minorHAnsi"/>
          <w:vertAlign w:val="subscript"/>
        </w:rPr>
        <w:t>ОЧГj</w:t>
      </w:r>
      <w:proofErr w:type="spellEnd"/>
      <w:r w:rsidRPr="002F4488">
        <w:rPr>
          <w:rFonts w:asciiTheme="minorHAnsi" w:hAnsiTheme="minorHAnsi" w:cstheme="minorHAnsi"/>
        </w:rPr>
        <w:t xml:space="preserve"> - расчетные доходы бюджета j-го поселения, рассчитанные в соответствии с настоящей Методикой;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proofErr w:type="spellStart"/>
      <w:r w:rsidRPr="002F4488">
        <w:rPr>
          <w:rFonts w:asciiTheme="minorHAnsi" w:hAnsiTheme="minorHAnsi" w:cstheme="minorHAnsi"/>
        </w:rPr>
        <w:t>Д</w:t>
      </w:r>
      <w:r w:rsidRPr="002F4488">
        <w:rPr>
          <w:rFonts w:asciiTheme="minorHAnsi" w:hAnsiTheme="minorHAnsi" w:cstheme="minorHAnsi"/>
          <w:vertAlign w:val="subscript"/>
        </w:rPr>
        <w:t>ТГj</w:t>
      </w:r>
      <w:proofErr w:type="spellEnd"/>
      <w:r w:rsidRPr="002F4488">
        <w:rPr>
          <w:rFonts w:asciiTheme="minorHAnsi" w:hAnsiTheme="minorHAnsi" w:cstheme="minorHAnsi"/>
        </w:rPr>
        <w:t xml:space="preserve"> - расчетные доходы бюджета j-го поселения, рассчитанные в соответствии с методикой расчета межбюджетного трансферта на сбалансированность на текущий финансовый год;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proofErr w:type="spellStart"/>
      <w:r w:rsidRPr="002F4488">
        <w:rPr>
          <w:rFonts w:asciiTheme="minorHAnsi" w:hAnsiTheme="minorHAnsi" w:cstheme="minorHAnsi"/>
        </w:rPr>
        <w:t>С</w:t>
      </w:r>
      <w:r w:rsidRPr="002F4488">
        <w:rPr>
          <w:rFonts w:asciiTheme="minorHAnsi" w:hAnsiTheme="minorHAnsi" w:cstheme="minorHAnsi"/>
          <w:vertAlign w:val="subscript"/>
        </w:rPr>
        <w:t>ОЧГj</w:t>
      </w:r>
      <w:proofErr w:type="spellEnd"/>
      <w:r w:rsidRPr="002F4488">
        <w:rPr>
          <w:rFonts w:asciiTheme="minorHAnsi" w:hAnsiTheme="minorHAnsi" w:cstheme="minorHAnsi"/>
        </w:rPr>
        <w:t xml:space="preserve"> - межбюджетный трансферт на сбалансированность для j-го поселения, рассчитанный в соответствии с настоящей Методикой на очередной финансовый год;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proofErr w:type="spellStart"/>
      <w:r w:rsidRPr="002F4488">
        <w:rPr>
          <w:rFonts w:asciiTheme="minorHAnsi" w:hAnsiTheme="minorHAnsi" w:cstheme="minorHAnsi"/>
        </w:rPr>
        <w:lastRenderedPageBreak/>
        <w:t>С</w:t>
      </w:r>
      <w:r w:rsidRPr="002F4488">
        <w:rPr>
          <w:rFonts w:asciiTheme="minorHAnsi" w:hAnsiTheme="minorHAnsi" w:cstheme="minorHAnsi"/>
          <w:vertAlign w:val="subscript"/>
        </w:rPr>
        <w:t>ТГj</w:t>
      </w:r>
      <w:proofErr w:type="spellEnd"/>
      <w:r w:rsidRPr="002F4488">
        <w:rPr>
          <w:rFonts w:asciiTheme="minorHAnsi" w:hAnsiTheme="minorHAnsi" w:cstheme="minorHAnsi"/>
        </w:rPr>
        <w:t xml:space="preserve"> - межбюджетный трансферт на сбалансированность для j-го поселения, рассчитанный на текущий финансовый год.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>Сумма увеличения расходов бюджета j-го поселения на прочие затраты определяется как сумма, равная остатку средств на счете бюджета по состоянию на 1 января текущего года, но не более суммы снижения расчетных доходов бюджета j-го поселения с учетом межбюджетного трансферта на сбалансированность, рассчитанного в соответствии с настоящей Методикой для j-го поселения, по сравнению с аналогичным показателем, рассчитанным на текущий финансовый год, в пределах, не превышающих сумму снижения расходов бюджета j-го поселения на прочие затраты.</w:t>
      </w:r>
    </w:p>
    <w:p w:rsidR="00486A93" w:rsidRPr="002F4488" w:rsidRDefault="00486A93">
      <w:pPr>
        <w:pStyle w:val="ConsPlusNormal"/>
        <w:jc w:val="both"/>
        <w:rPr>
          <w:rFonts w:asciiTheme="minorHAnsi" w:hAnsiTheme="minorHAnsi" w:cstheme="minorHAnsi"/>
        </w:rPr>
      </w:pPr>
    </w:p>
    <w:p w:rsidR="00486A93" w:rsidRPr="002F4488" w:rsidRDefault="00486A93">
      <w:pPr>
        <w:pStyle w:val="ConsPlusNormal"/>
        <w:ind w:firstLine="540"/>
        <w:jc w:val="both"/>
        <w:rPr>
          <w:rFonts w:asciiTheme="minorHAnsi" w:hAnsiTheme="minorHAnsi" w:cstheme="minorHAnsi"/>
        </w:rPr>
      </w:pPr>
      <w:proofErr w:type="spellStart"/>
      <w:r w:rsidRPr="002F4488">
        <w:rPr>
          <w:rFonts w:asciiTheme="minorHAnsi" w:hAnsiTheme="minorHAnsi" w:cstheme="minorHAnsi"/>
        </w:rPr>
        <w:t>ПЗ</w:t>
      </w:r>
      <w:r w:rsidRPr="002F4488">
        <w:rPr>
          <w:rFonts w:asciiTheme="minorHAnsi" w:hAnsiTheme="minorHAnsi" w:cstheme="minorHAnsi"/>
          <w:vertAlign w:val="subscript"/>
        </w:rPr>
        <w:t>j</w:t>
      </w:r>
      <w:proofErr w:type="spellEnd"/>
      <w:r w:rsidRPr="002F4488">
        <w:rPr>
          <w:rFonts w:asciiTheme="minorHAnsi" w:hAnsiTheme="minorHAnsi" w:cstheme="minorHAnsi"/>
        </w:rPr>
        <w:t xml:space="preserve"> = (</w:t>
      </w:r>
      <w:proofErr w:type="spellStart"/>
      <w:r w:rsidRPr="002F4488">
        <w:rPr>
          <w:rFonts w:asciiTheme="minorHAnsi" w:hAnsiTheme="minorHAnsi" w:cstheme="minorHAnsi"/>
        </w:rPr>
        <w:t>ПЗ</w:t>
      </w:r>
      <w:r w:rsidRPr="002F4488">
        <w:rPr>
          <w:rFonts w:asciiTheme="minorHAnsi" w:hAnsiTheme="minorHAnsi" w:cstheme="minorHAnsi"/>
          <w:vertAlign w:val="subscript"/>
        </w:rPr>
        <w:t>ТГj</w:t>
      </w:r>
      <w:proofErr w:type="spellEnd"/>
      <w:r w:rsidRPr="002F4488">
        <w:rPr>
          <w:rFonts w:asciiTheme="minorHAnsi" w:hAnsiTheme="minorHAnsi" w:cstheme="minorHAnsi"/>
        </w:rPr>
        <w:t xml:space="preserve"> - </w:t>
      </w:r>
      <w:proofErr w:type="spellStart"/>
      <w:r w:rsidRPr="002F4488">
        <w:rPr>
          <w:rFonts w:asciiTheme="minorHAnsi" w:hAnsiTheme="minorHAnsi" w:cstheme="minorHAnsi"/>
        </w:rPr>
        <w:t>ПЗ</w:t>
      </w:r>
      <w:r w:rsidRPr="002F4488">
        <w:rPr>
          <w:rFonts w:asciiTheme="minorHAnsi" w:hAnsiTheme="minorHAnsi" w:cstheme="minorHAnsi"/>
          <w:vertAlign w:val="subscript"/>
        </w:rPr>
        <w:t>ОЧГj</w:t>
      </w:r>
      <w:proofErr w:type="spellEnd"/>
      <w:proofErr w:type="gramStart"/>
      <w:r w:rsidRPr="002F4488">
        <w:rPr>
          <w:rFonts w:asciiTheme="minorHAnsi" w:hAnsiTheme="minorHAnsi" w:cstheme="minorHAnsi"/>
        </w:rPr>
        <w:t>) &gt;</w:t>
      </w:r>
      <w:proofErr w:type="gramEnd"/>
      <w:r w:rsidRPr="002F4488">
        <w:rPr>
          <w:rFonts w:asciiTheme="minorHAnsi" w:hAnsiTheme="minorHAnsi" w:cstheme="minorHAnsi"/>
        </w:rPr>
        <w:t xml:space="preserve">= </w:t>
      </w:r>
      <w:proofErr w:type="spellStart"/>
      <w:r w:rsidRPr="002F4488">
        <w:rPr>
          <w:rFonts w:asciiTheme="minorHAnsi" w:hAnsiTheme="minorHAnsi" w:cstheme="minorHAnsi"/>
        </w:rPr>
        <w:t>О</w:t>
      </w:r>
      <w:r w:rsidRPr="002F4488">
        <w:rPr>
          <w:rFonts w:asciiTheme="minorHAnsi" w:hAnsiTheme="minorHAnsi" w:cstheme="minorHAnsi"/>
          <w:vertAlign w:val="subscript"/>
        </w:rPr>
        <w:t>j</w:t>
      </w:r>
      <w:proofErr w:type="spellEnd"/>
      <w:r w:rsidRPr="002F4488">
        <w:rPr>
          <w:rFonts w:asciiTheme="minorHAnsi" w:hAnsiTheme="minorHAnsi" w:cstheme="minorHAnsi"/>
        </w:rPr>
        <w:t xml:space="preserve"> &lt;= ((</w:t>
      </w:r>
      <w:proofErr w:type="spellStart"/>
      <w:r w:rsidRPr="002F4488">
        <w:rPr>
          <w:rFonts w:asciiTheme="minorHAnsi" w:hAnsiTheme="minorHAnsi" w:cstheme="minorHAnsi"/>
        </w:rPr>
        <w:t>Д</w:t>
      </w:r>
      <w:r w:rsidRPr="002F4488">
        <w:rPr>
          <w:rFonts w:asciiTheme="minorHAnsi" w:hAnsiTheme="minorHAnsi" w:cstheme="minorHAnsi"/>
          <w:vertAlign w:val="subscript"/>
        </w:rPr>
        <w:t>ТГj</w:t>
      </w:r>
      <w:proofErr w:type="spellEnd"/>
      <w:r w:rsidRPr="002F4488">
        <w:rPr>
          <w:rFonts w:asciiTheme="minorHAnsi" w:hAnsiTheme="minorHAnsi" w:cstheme="minorHAnsi"/>
        </w:rPr>
        <w:t xml:space="preserve"> + </w:t>
      </w:r>
      <w:proofErr w:type="spellStart"/>
      <w:r w:rsidRPr="002F4488">
        <w:rPr>
          <w:rFonts w:asciiTheme="minorHAnsi" w:hAnsiTheme="minorHAnsi" w:cstheme="minorHAnsi"/>
        </w:rPr>
        <w:t>С</w:t>
      </w:r>
      <w:r w:rsidRPr="002F4488">
        <w:rPr>
          <w:rFonts w:asciiTheme="minorHAnsi" w:hAnsiTheme="minorHAnsi" w:cstheme="minorHAnsi"/>
          <w:vertAlign w:val="subscript"/>
        </w:rPr>
        <w:t>ТГj</w:t>
      </w:r>
      <w:proofErr w:type="spellEnd"/>
      <w:r w:rsidRPr="002F4488">
        <w:rPr>
          <w:rFonts w:asciiTheme="minorHAnsi" w:hAnsiTheme="minorHAnsi" w:cstheme="minorHAnsi"/>
        </w:rPr>
        <w:t>) - (</w:t>
      </w:r>
      <w:proofErr w:type="spellStart"/>
      <w:r w:rsidRPr="002F4488">
        <w:rPr>
          <w:rFonts w:asciiTheme="minorHAnsi" w:hAnsiTheme="minorHAnsi" w:cstheme="minorHAnsi"/>
        </w:rPr>
        <w:t>Д</w:t>
      </w:r>
      <w:r w:rsidRPr="002F4488">
        <w:rPr>
          <w:rFonts w:asciiTheme="minorHAnsi" w:hAnsiTheme="minorHAnsi" w:cstheme="minorHAnsi"/>
          <w:vertAlign w:val="subscript"/>
        </w:rPr>
        <w:t>ОЧГj</w:t>
      </w:r>
      <w:proofErr w:type="spellEnd"/>
      <w:r w:rsidRPr="002F4488">
        <w:rPr>
          <w:rFonts w:asciiTheme="minorHAnsi" w:hAnsiTheme="minorHAnsi" w:cstheme="minorHAnsi"/>
        </w:rPr>
        <w:t xml:space="preserve"> + </w:t>
      </w:r>
      <w:proofErr w:type="spellStart"/>
      <w:r w:rsidRPr="002F4488">
        <w:rPr>
          <w:rFonts w:asciiTheme="minorHAnsi" w:hAnsiTheme="minorHAnsi" w:cstheme="minorHAnsi"/>
        </w:rPr>
        <w:t>С</w:t>
      </w:r>
      <w:r w:rsidRPr="002F4488">
        <w:rPr>
          <w:rFonts w:asciiTheme="minorHAnsi" w:hAnsiTheme="minorHAnsi" w:cstheme="minorHAnsi"/>
          <w:vertAlign w:val="subscript"/>
        </w:rPr>
        <w:t>ОЧГj</w:t>
      </w:r>
      <w:proofErr w:type="spellEnd"/>
      <w:r w:rsidRPr="002F4488">
        <w:rPr>
          <w:rFonts w:asciiTheme="minorHAnsi" w:hAnsiTheme="minorHAnsi" w:cstheme="minorHAnsi"/>
        </w:rPr>
        <w:t>)), где:</w:t>
      </w:r>
    </w:p>
    <w:p w:rsidR="00486A93" w:rsidRPr="002F4488" w:rsidRDefault="00486A93">
      <w:pPr>
        <w:pStyle w:val="ConsPlusNormal"/>
        <w:jc w:val="both"/>
        <w:rPr>
          <w:rFonts w:asciiTheme="minorHAnsi" w:hAnsiTheme="minorHAnsi" w:cstheme="minorHAnsi"/>
        </w:rPr>
      </w:pPr>
    </w:p>
    <w:p w:rsidR="00486A93" w:rsidRPr="002F4488" w:rsidRDefault="00486A93">
      <w:pPr>
        <w:pStyle w:val="ConsPlusNormal"/>
        <w:ind w:firstLine="540"/>
        <w:jc w:val="both"/>
        <w:rPr>
          <w:rFonts w:asciiTheme="minorHAnsi" w:hAnsiTheme="minorHAnsi" w:cstheme="minorHAnsi"/>
        </w:rPr>
      </w:pPr>
      <w:proofErr w:type="spellStart"/>
      <w:r w:rsidRPr="002F4488">
        <w:rPr>
          <w:rFonts w:asciiTheme="minorHAnsi" w:hAnsiTheme="minorHAnsi" w:cstheme="minorHAnsi"/>
        </w:rPr>
        <w:t>ПЗ</w:t>
      </w:r>
      <w:r w:rsidRPr="002F4488">
        <w:rPr>
          <w:rFonts w:asciiTheme="minorHAnsi" w:hAnsiTheme="minorHAnsi" w:cstheme="minorHAnsi"/>
          <w:vertAlign w:val="subscript"/>
        </w:rPr>
        <w:t>j</w:t>
      </w:r>
      <w:proofErr w:type="spellEnd"/>
      <w:r w:rsidRPr="002F4488">
        <w:rPr>
          <w:rFonts w:asciiTheme="minorHAnsi" w:hAnsiTheme="minorHAnsi" w:cstheme="minorHAnsi"/>
        </w:rPr>
        <w:t xml:space="preserve"> - увеличение расходов бюджета j-го поселения на прочие затраты;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proofErr w:type="spellStart"/>
      <w:r w:rsidRPr="002F4488">
        <w:rPr>
          <w:rFonts w:asciiTheme="minorHAnsi" w:hAnsiTheme="minorHAnsi" w:cstheme="minorHAnsi"/>
        </w:rPr>
        <w:t>О</w:t>
      </w:r>
      <w:r w:rsidRPr="002F4488">
        <w:rPr>
          <w:rFonts w:asciiTheme="minorHAnsi" w:hAnsiTheme="minorHAnsi" w:cstheme="minorHAnsi"/>
          <w:vertAlign w:val="subscript"/>
        </w:rPr>
        <w:t>j</w:t>
      </w:r>
      <w:proofErr w:type="spellEnd"/>
      <w:r w:rsidRPr="002F4488">
        <w:rPr>
          <w:rFonts w:asciiTheme="minorHAnsi" w:hAnsiTheme="minorHAnsi" w:cstheme="minorHAnsi"/>
        </w:rPr>
        <w:t xml:space="preserve"> - остаток средств на счете местного бюджета на начало текущего года (без учета остатка целевых межбюджетных трансфертов, подлежащих возврату в окружной и районный бюджеты) за минусом остатков средств дорожного фонда поселения;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proofErr w:type="spellStart"/>
      <w:r w:rsidRPr="002F4488">
        <w:rPr>
          <w:rFonts w:asciiTheme="minorHAnsi" w:hAnsiTheme="minorHAnsi" w:cstheme="minorHAnsi"/>
        </w:rPr>
        <w:t>ПЗ</w:t>
      </w:r>
      <w:r w:rsidRPr="002F4488">
        <w:rPr>
          <w:rFonts w:asciiTheme="minorHAnsi" w:hAnsiTheme="minorHAnsi" w:cstheme="minorHAnsi"/>
          <w:vertAlign w:val="subscript"/>
        </w:rPr>
        <w:t>ОЧГj</w:t>
      </w:r>
      <w:proofErr w:type="spellEnd"/>
      <w:r w:rsidRPr="002F4488">
        <w:rPr>
          <w:rFonts w:asciiTheme="minorHAnsi" w:hAnsiTheme="minorHAnsi" w:cstheme="minorHAnsi"/>
        </w:rPr>
        <w:t xml:space="preserve"> - расходы бюджета j-го поселения на прочие затраты, рассчитанные в соответствии с настоящей Методикой;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proofErr w:type="spellStart"/>
      <w:r w:rsidRPr="002F4488">
        <w:rPr>
          <w:rFonts w:asciiTheme="minorHAnsi" w:hAnsiTheme="minorHAnsi" w:cstheme="minorHAnsi"/>
        </w:rPr>
        <w:t>ПЗ</w:t>
      </w:r>
      <w:r w:rsidRPr="002F4488">
        <w:rPr>
          <w:rFonts w:asciiTheme="minorHAnsi" w:hAnsiTheme="minorHAnsi" w:cstheme="minorHAnsi"/>
          <w:vertAlign w:val="subscript"/>
        </w:rPr>
        <w:t>ТГj</w:t>
      </w:r>
      <w:proofErr w:type="spellEnd"/>
      <w:r w:rsidRPr="002F4488">
        <w:rPr>
          <w:rFonts w:asciiTheme="minorHAnsi" w:hAnsiTheme="minorHAnsi" w:cstheme="minorHAnsi"/>
        </w:rPr>
        <w:t xml:space="preserve"> - расходы бюджета j-го поселения на прочие затраты, рассчитанные в соответствии с методикой расчета межбюджетного трансферта на сбалансированность на текущий финансовый год;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proofErr w:type="spellStart"/>
      <w:r w:rsidRPr="002F4488">
        <w:rPr>
          <w:rFonts w:asciiTheme="minorHAnsi" w:hAnsiTheme="minorHAnsi" w:cstheme="minorHAnsi"/>
        </w:rPr>
        <w:t>Д</w:t>
      </w:r>
      <w:r w:rsidRPr="002F4488">
        <w:rPr>
          <w:rFonts w:asciiTheme="minorHAnsi" w:hAnsiTheme="minorHAnsi" w:cstheme="minorHAnsi"/>
          <w:vertAlign w:val="subscript"/>
        </w:rPr>
        <w:t>ОЧГj</w:t>
      </w:r>
      <w:proofErr w:type="spellEnd"/>
      <w:r w:rsidRPr="002F4488">
        <w:rPr>
          <w:rFonts w:asciiTheme="minorHAnsi" w:hAnsiTheme="minorHAnsi" w:cstheme="minorHAnsi"/>
        </w:rPr>
        <w:t xml:space="preserve"> - расчетные доходы бюджета j-го поселения, рассчитанные в соответствии с настоящей Методикой;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proofErr w:type="spellStart"/>
      <w:r w:rsidRPr="002F4488">
        <w:rPr>
          <w:rFonts w:asciiTheme="minorHAnsi" w:hAnsiTheme="minorHAnsi" w:cstheme="minorHAnsi"/>
        </w:rPr>
        <w:t>Д</w:t>
      </w:r>
      <w:r w:rsidRPr="002F4488">
        <w:rPr>
          <w:rFonts w:asciiTheme="minorHAnsi" w:hAnsiTheme="minorHAnsi" w:cstheme="minorHAnsi"/>
          <w:vertAlign w:val="subscript"/>
        </w:rPr>
        <w:t>ТГj</w:t>
      </w:r>
      <w:proofErr w:type="spellEnd"/>
      <w:r w:rsidRPr="002F4488">
        <w:rPr>
          <w:rFonts w:asciiTheme="minorHAnsi" w:hAnsiTheme="minorHAnsi" w:cstheme="minorHAnsi"/>
        </w:rPr>
        <w:t xml:space="preserve"> - расчетные доходы бюджета j-го поселения, рассчитанные в соответствии с методикой расчета межбюджетного трансферта на сбалансированность на текущий финансовый год;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proofErr w:type="spellStart"/>
      <w:r w:rsidRPr="002F4488">
        <w:rPr>
          <w:rFonts w:asciiTheme="minorHAnsi" w:hAnsiTheme="minorHAnsi" w:cstheme="minorHAnsi"/>
        </w:rPr>
        <w:t>С</w:t>
      </w:r>
      <w:r w:rsidRPr="002F4488">
        <w:rPr>
          <w:rFonts w:asciiTheme="minorHAnsi" w:hAnsiTheme="minorHAnsi" w:cstheme="minorHAnsi"/>
          <w:vertAlign w:val="subscript"/>
        </w:rPr>
        <w:t>ОЧГj</w:t>
      </w:r>
      <w:proofErr w:type="spellEnd"/>
      <w:r w:rsidRPr="002F4488">
        <w:rPr>
          <w:rFonts w:asciiTheme="minorHAnsi" w:hAnsiTheme="minorHAnsi" w:cstheme="minorHAnsi"/>
        </w:rPr>
        <w:t xml:space="preserve"> - межбюджетный трансферт на сбалансированность для j-го поселения, рассчитанный в соответствии с настоящей Методикой на очередной финансовый год;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proofErr w:type="spellStart"/>
      <w:r w:rsidRPr="002F4488">
        <w:rPr>
          <w:rFonts w:asciiTheme="minorHAnsi" w:hAnsiTheme="minorHAnsi" w:cstheme="minorHAnsi"/>
        </w:rPr>
        <w:t>С</w:t>
      </w:r>
      <w:r w:rsidRPr="002F4488">
        <w:rPr>
          <w:rFonts w:asciiTheme="minorHAnsi" w:hAnsiTheme="minorHAnsi" w:cstheme="minorHAnsi"/>
          <w:vertAlign w:val="subscript"/>
        </w:rPr>
        <w:t>ТГj</w:t>
      </w:r>
      <w:proofErr w:type="spellEnd"/>
      <w:r w:rsidRPr="002F4488">
        <w:rPr>
          <w:rFonts w:asciiTheme="minorHAnsi" w:hAnsiTheme="minorHAnsi" w:cstheme="minorHAnsi"/>
        </w:rPr>
        <w:t xml:space="preserve"> - межбюджетный трансферт на сбалансированность для j-го поселения, рассчитанный на текущий финансовый год.</w:t>
      </w:r>
    </w:p>
    <w:p w:rsidR="00486A93" w:rsidRPr="002F4488" w:rsidRDefault="00486A93">
      <w:pPr>
        <w:pStyle w:val="ConsPlusNormal"/>
        <w:spacing w:before="220"/>
        <w:ind w:firstLine="540"/>
        <w:jc w:val="both"/>
        <w:rPr>
          <w:rFonts w:asciiTheme="minorHAnsi" w:hAnsiTheme="minorHAnsi" w:cstheme="minorHAnsi"/>
        </w:rPr>
      </w:pPr>
      <w:r w:rsidRPr="002F4488">
        <w:rPr>
          <w:rFonts w:asciiTheme="minorHAnsi" w:hAnsiTheme="minorHAnsi" w:cstheme="minorHAnsi"/>
        </w:rPr>
        <w:t xml:space="preserve">7. В случае увеличения расходов бюджета j-го поселения на прочие затраты в соответствии с </w:t>
      </w:r>
      <w:hyperlink w:anchor="P8903">
        <w:r w:rsidRPr="002F4488">
          <w:rPr>
            <w:rFonts w:asciiTheme="minorHAnsi" w:hAnsiTheme="minorHAnsi" w:cstheme="minorHAnsi"/>
            <w:color w:val="0000FF"/>
          </w:rPr>
          <w:t>пунктом 6</w:t>
        </w:r>
      </w:hyperlink>
      <w:r w:rsidRPr="002F4488">
        <w:rPr>
          <w:rFonts w:asciiTheme="minorHAnsi" w:hAnsiTheme="minorHAnsi" w:cstheme="minorHAnsi"/>
        </w:rPr>
        <w:t xml:space="preserve"> настоящей Методики объем межбюджетного трансферта на сбалансированность, выделяемого бюджету j-го поселения на 2022 (2023, 2024) год, подлежит пересчету.</w:t>
      </w:r>
    </w:p>
    <w:p w:rsidR="00486A93" w:rsidRPr="002F4488" w:rsidRDefault="00486A93">
      <w:pPr>
        <w:pStyle w:val="ConsPlusNormal"/>
        <w:jc w:val="both"/>
        <w:rPr>
          <w:rFonts w:asciiTheme="minorHAnsi" w:hAnsiTheme="minorHAnsi" w:cstheme="minorHAnsi"/>
        </w:rPr>
      </w:pPr>
    </w:p>
    <w:p w:rsidR="00486A93" w:rsidRPr="002F4488" w:rsidRDefault="00486A93">
      <w:pPr>
        <w:pStyle w:val="ConsPlusNormal"/>
        <w:jc w:val="both"/>
        <w:rPr>
          <w:rFonts w:asciiTheme="minorHAnsi" w:hAnsiTheme="minorHAnsi" w:cstheme="minorHAnsi"/>
        </w:rPr>
      </w:pPr>
    </w:p>
    <w:p w:rsidR="00486A93" w:rsidRPr="002F4488" w:rsidRDefault="00486A93">
      <w:pPr>
        <w:pStyle w:val="ConsPlusNormal"/>
        <w:jc w:val="both"/>
        <w:rPr>
          <w:rFonts w:asciiTheme="minorHAnsi" w:hAnsiTheme="minorHAnsi" w:cstheme="minorHAnsi"/>
        </w:rPr>
      </w:pPr>
    </w:p>
    <w:p w:rsidR="00486A93" w:rsidRPr="002F4488" w:rsidRDefault="00486A93">
      <w:pPr>
        <w:pStyle w:val="ConsPlusNormal"/>
        <w:jc w:val="both"/>
        <w:rPr>
          <w:rFonts w:asciiTheme="minorHAnsi" w:hAnsiTheme="minorHAnsi" w:cstheme="minorHAnsi"/>
        </w:rPr>
      </w:pPr>
    </w:p>
    <w:p w:rsidR="00486A93" w:rsidRPr="002F4488" w:rsidRDefault="00486A93">
      <w:pPr>
        <w:pStyle w:val="ConsPlusNormal"/>
        <w:jc w:val="both"/>
        <w:rPr>
          <w:rFonts w:asciiTheme="minorHAnsi" w:hAnsiTheme="minorHAnsi" w:cstheme="minorHAnsi"/>
        </w:rPr>
      </w:pPr>
    </w:p>
    <w:sectPr w:rsidR="00486A93" w:rsidRPr="002F4488" w:rsidSect="007E5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A93"/>
    <w:rsid w:val="00207C62"/>
    <w:rsid w:val="002F1A2E"/>
    <w:rsid w:val="002F4488"/>
    <w:rsid w:val="003F7DA9"/>
    <w:rsid w:val="00486A93"/>
    <w:rsid w:val="005A260B"/>
    <w:rsid w:val="0064435F"/>
    <w:rsid w:val="00664D2B"/>
    <w:rsid w:val="007D31CD"/>
    <w:rsid w:val="00814A75"/>
    <w:rsid w:val="00995868"/>
    <w:rsid w:val="009C4E2B"/>
    <w:rsid w:val="00D33A1E"/>
    <w:rsid w:val="00D553F4"/>
    <w:rsid w:val="00DA7B9E"/>
    <w:rsid w:val="00EE0877"/>
    <w:rsid w:val="00F40CF9"/>
    <w:rsid w:val="00F4139D"/>
    <w:rsid w:val="00FA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7B412B-2349-4C94-900F-2269364A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A9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86A9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86A9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86A9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86A9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86A9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86A9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86A9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wmf"/><Relationship Id="rId18" Type="http://schemas.openxmlformats.org/officeDocument/2006/relationships/image" Target="media/image14.wmf"/><Relationship Id="rId26" Type="http://schemas.openxmlformats.org/officeDocument/2006/relationships/hyperlink" Target="consultantplus://offline/ref=4548D0914AB8FBC65B3B5A3E9512C1C9D5F7B86FBE97714AA6FD011A431CB6C1C2C05A7667EDE8BEFAAE4B4DAAABCCH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34" Type="http://schemas.openxmlformats.org/officeDocument/2006/relationships/image" Target="media/image25.wmf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hyperlink" Target="consultantplus://offline/ref=4548D0914AB8FBC65B3B4433837E96C5D2FCE665B99E7F14F8A25A471415BC96978F5B3822E2F7BFF8B0484AA3EA39A70C3945AFF327ADB3760807AECAH" TargetMode="External"/><Relationship Id="rId25" Type="http://schemas.openxmlformats.org/officeDocument/2006/relationships/hyperlink" Target="consultantplus://offline/ref=4548D0914AB8FBC65B3B5A3E9512C1C9D5F4B86EBE99714AA6FD011A431CB6C1D0C0027A65ECFEBDF3E41809FDB369E1473546B3EF26ADAACFH" TargetMode="External"/><Relationship Id="rId33" Type="http://schemas.openxmlformats.org/officeDocument/2006/relationships/image" Target="media/image24.wmf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5.wmf"/><Relationship Id="rId29" Type="http://schemas.openxmlformats.org/officeDocument/2006/relationships/image" Target="media/image20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24" Type="http://schemas.openxmlformats.org/officeDocument/2006/relationships/image" Target="media/image17.wmf"/><Relationship Id="rId32" Type="http://schemas.openxmlformats.org/officeDocument/2006/relationships/image" Target="media/image23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23" Type="http://schemas.openxmlformats.org/officeDocument/2006/relationships/hyperlink" Target="consultantplus://offline/ref=4548D0914AB8FBC65B3B5A3E9512C1C9D5F7BA6DBF96714AA6FD011A431CB6C1C2C05A7667EDE8BEFAAE4B4DAAABCCH" TargetMode="External"/><Relationship Id="rId28" Type="http://schemas.openxmlformats.org/officeDocument/2006/relationships/image" Target="media/image19.wmf"/><Relationship Id="rId36" Type="http://schemas.openxmlformats.org/officeDocument/2006/relationships/theme" Target="theme/theme1.xml"/><Relationship Id="rId10" Type="http://schemas.openxmlformats.org/officeDocument/2006/relationships/image" Target="media/image7.wmf"/><Relationship Id="rId19" Type="http://schemas.openxmlformats.org/officeDocument/2006/relationships/hyperlink" Target="consultantplus://offline/ref=4548D0914AB8FBC65B3B4433837E96C5D2FCE665B99E7F14F8A25A471415BC96978F5B3822E2F7BFF8B0484AA3EA39A70C3945AFF327ADB3760807AECAH" TargetMode="External"/><Relationship Id="rId31" Type="http://schemas.openxmlformats.org/officeDocument/2006/relationships/image" Target="media/image22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hyperlink" Target="consultantplus://offline/ref=4548D0914AB8FBC65B3B5A3E9512C1C9D5F7BA6DBF96714AA6FD011A431CB6C1C2C05A7667EDE8BEFAAE4B4DAAABCCH" TargetMode="External"/><Relationship Id="rId27" Type="http://schemas.openxmlformats.org/officeDocument/2006/relationships/image" Target="media/image18.wmf"/><Relationship Id="rId30" Type="http://schemas.openxmlformats.org/officeDocument/2006/relationships/image" Target="media/image21.wmf"/><Relationship Id="rId35" Type="http://schemas.openxmlformats.org/officeDocument/2006/relationships/fontTable" Target="fontTable.xml"/><Relationship Id="rId8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2010</Words>
  <Characters>11461</Characters>
  <Application>Microsoft Office Word</Application>
  <DocSecurity>0</DocSecurity>
  <Lines>95</Lines>
  <Paragraphs>26</Paragraphs>
  <ScaleCrop>false</ScaleCrop>
  <Company/>
  <LinksUpToDate>false</LinksUpToDate>
  <CharactersWithSpaces>13445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Артемьева Евгения Сергеевна</dc:creator>
  <cp:keywords/>
  <dc:description/>
  <cp:lastModifiedBy>Батманова Светлана Юрьевна</cp:lastModifiedBy>
  <cp:revision>19</cp:revision>
  <dcterms:created xsi:type="dcterms:W3CDTF">2022-12-12T07:01:00Z</dcterms:created>
  <dcterms:modified xsi:type="dcterms:W3CDTF">2023-01-11T11:09:00Z</dcterms:modified>
</cp:coreProperties>
</file>